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A541E5">
      <w:pPr>
        <w:pStyle w:val="Tekstpodstawowy31"/>
        <w:jc w:val="righ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7B6BD5" w:rsidRDefault="007B6BD5" w:rsidP="003E38E0">
      <w:pPr>
        <w:jc w:val="center"/>
        <w:rPr>
          <w:sz w:val="28"/>
          <w:szCs w:val="22"/>
        </w:rPr>
      </w:pPr>
    </w:p>
    <w:p w:rsidR="00A541E5" w:rsidRPr="003E38E0" w:rsidRDefault="00A541E5" w:rsidP="003E38E0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7264AD" w:rsidRDefault="007264AD" w:rsidP="00A541E5">
      <w:pPr>
        <w:jc w:val="center"/>
      </w:pPr>
    </w:p>
    <w:p w:rsidR="00A541E5" w:rsidRPr="00883368" w:rsidRDefault="00A541E5" w:rsidP="00A541E5">
      <w:pPr>
        <w:jc w:val="center"/>
      </w:pPr>
      <w:r w:rsidRPr="00883368">
        <w:t>§ 1</w:t>
      </w:r>
    </w:p>
    <w:p w:rsidR="008016F5" w:rsidRPr="0042742C" w:rsidRDefault="00A541E5" w:rsidP="0073504C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8E5109" w:rsidRPr="00D15162" w:rsidRDefault="008E5109" w:rsidP="008E5109">
      <w:pPr>
        <w:pStyle w:val="Zwykytekst"/>
        <w:tabs>
          <w:tab w:val="left" w:pos="708"/>
        </w:tabs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A31FA3">
        <w:rPr>
          <w:rFonts w:ascii="Times New Roman" w:hAnsi="Times New Roman"/>
          <w:sz w:val="24"/>
          <w:szCs w:val="24"/>
          <w:u w:val="single"/>
        </w:rPr>
        <w:t>Roboty remontowe w ZSE w Wołominie przy al. Armii Krajowej 38</w:t>
      </w:r>
      <w:r w:rsidRPr="00D15162">
        <w:rPr>
          <w:rFonts w:ascii="Times New Roman" w:hAnsi="Times New Roman"/>
          <w:sz w:val="24"/>
          <w:szCs w:val="24"/>
        </w:rPr>
        <w:t>”</w:t>
      </w:r>
    </w:p>
    <w:p w:rsidR="00842457" w:rsidRPr="00842457" w:rsidRDefault="00842457" w:rsidP="0073504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A31FA3" w:rsidRDefault="003961F5" w:rsidP="00A31FA3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="00A31FA3">
        <w:t xml:space="preserve"> do wykonania w Zespole Szkół Ekonomicznych w Wołominie: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o</w:t>
      </w:r>
      <w:r w:rsidR="00A31FA3">
        <w:t>dnowienie zawilgoconych miejsc klatki schodowej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r</w:t>
      </w:r>
      <w:r w:rsidR="00A31FA3">
        <w:t>emont kompleksowy toalety damskiej i męskiej (wymiana płytek podłogowych i ściennych, malowanie, montaż umywalek, ustępów, luster itp.)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m</w:t>
      </w:r>
      <w:r w:rsidR="00A31FA3">
        <w:t>alowanie dużej sali lekcyjnej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w</w:t>
      </w:r>
      <w:r w:rsidR="00A31FA3">
        <w:t>ymiana 10 sztuk opraw oświetleniowych LED na budynku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m</w:t>
      </w:r>
      <w:r w:rsidR="00A31FA3">
        <w:t>ontaż daszku (</w:t>
      </w:r>
      <w:r>
        <w:t xml:space="preserve">rama </w:t>
      </w:r>
      <w:r w:rsidR="00A31FA3">
        <w:t>stalowa, pokrycie z poliwęglanu) nad bocznym wejściem do szkoły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r</w:t>
      </w:r>
      <w:r w:rsidR="00A31FA3">
        <w:t>emont schodków wejściowych do bocznego wejścia szkolnego (wymiana płytek na płytki klinkierowe</w:t>
      </w:r>
      <w:r>
        <w:t>),</w:t>
      </w:r>
    </w:p>
    <w:p w:rsidR="00FF60EB" w:rsidRDefault="003961F5" w:rsidP="00A31FA3">
      <w:pPr>
        <w:tabs>
          <w:tab w:val="left" w:pos="567"/>
        </w:tabs>
        <w:jc w:val="both"/>
      </w:pPr>
      <w:r w:rsidRPr="00883368">
        <w:t>Szczegółowo zakres prac jest przedstawiony w obmiarze,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37465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AF4BF9">
        <w:rPr>
          <w:rFonts w:ascii="Times New Roman" w:hAnsi="Times New Roman"/>
          <w:sz w:val="24"/>
          <w:szCs w:val="24"/>
        </w:rPr>
        <w:t xml:space="preserve">do </w:t>
      </w:r>
      <w:r w:rsidR="00A31FA3">
        <w:rPr>
          <w:rFonts w:ascii="Times New Roman" w:hAnsi="Times New Roman"/>
          <w:sz w:val="24"/>
          <w:szCs w:val="24"/>
        </w:rPr>
        <w:t xml:space="preserve">31 </w:t>
      </w:r>
      <w:r w:rsidR="00403144">
        <w:rPr>
          <w:rFonts w:ascii="Times New Roman" w:hAnsi="Times New Roman"/>
          <w:sz w:val="24"/>
          <w:szCs w:val="24"/>
        </w:rPr>
        <w:t>października</w:t>
      </w:r>
      <w:r w:rsidR="00A31FA3">
        <w:rPr>
          <w:rFonts w:ascii="Times New Roman" w:hAnsi="Times New Roman"/>
          <w:sz w:val="24"/>
          <w:szCs w:val="24"/>
        </w:rPr>
        <w:t xml:space="preserve"> </w:t>
      </w:r>
      <w:r w:rsidR="002C74C0">
        <w:rPr>
          <w:rFonts w:ascii="Times New Roman" w:hAnsi="Times New Roman"/>
          <w:sz w:val="24"/>
          <w:szCs w:val="24"/>
        </w:rPr>
        <w:t>2018 roku.</w:t>
      </w:r>
    </w:p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371165" w:rsidRDefault="00371165" w:rsidP="00371165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A232F0" w:rsidRDefault="00A232F0" w:rsidP="00371165">
      <w:pPr>
        <w:pStyle w:val="Akapitzlist"/>
        <w:ind w:left="426" w:hanging="426"/>
        <w:jc w:val="both"/>
      </w:pPr>
    </w:p>
    <w:p w:rsidR="00A232F0" w:rsidRDefault="00A232F0" w:rsidP="00371165">
      <w:pPr>
        <w:pStyle w:val="Akapitzlist"/>
        <w:ind w:left="426" w:hanging="426"/>
        <w:jc w:val="both"/>
      </w:pPr>
    </w:p>
    <w:p w:rsidR="00A232F0" w:rsidRPr="003402CC" w:rsidRDefault="00A232F0" w:rsidP="00371165">
      <w:pPr>
        <w:pStyle w:val="Akapitzlist"/>
        <w:ind w:left="426" w:hanging="426"/>
        <w:jc w:val="both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lastRenderedPageBreak/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</w:t>
      </w:r>
      <w:bookmarkStart w:id="0" w:name="_GoBack"/>
      <w:bookmarkEnd w:id="0"/>
      <w:r w:rsidRPr="00883368">
        <w:t>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lastRenderedPageBreak/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niniejsza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92102B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B05E33" w:rsidRPr="00883368" w:rsidRDefault="00B05E33" w:rsidP="00A541E5">
      <w:pPr>
        <w:shd w:val="clear" w:color="auto" w:fill="FFFFFF"/>
        <w:tabs>
          <w:tab w:val="left" w:pos="394"/>
        </w:tabs>
        <w:suppressAutoHyphens/>
        <w:ind w:left="426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</w:t>
      </w:r>
      <w:r w:rsidRPr="00883368">
        <w:lastRenderedPageBreak/>
        <w:t xml:space="preserve">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Pr="00883368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18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19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20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 oraz przepisy Kodeksu Cywilnego.</w:t>
      </w:r>
    </w:p>
    <w:p w:rsidR="00A541E5" w:rsidRPr="00883368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21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041D36" w:rsidRPr="00D54BB4" w:rsidRDefault="00041D36" w:rsidP="00041D36">
      <w:pPr>
        <w:pStyle w:val="Akapitzlist"/>
        <w:numPr>
          <w:ilvl w:val="0"/>
          <w:numId w:val="21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165410" w:rsidRDefault="00165410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lastRenderedPageBreak/>
        <w:t>§</w:t>
      </w:r>
      <w:r w:rsidR="00582B90" w:rsidRPr="00883368">
        <w:t xml:space="preserve"> 22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6"/>
  </w:num>
  <w:num w:numId="14">
    <w:abstractNumId w:val="20"/>
  </w:num>
  <w:num w:numId="15">
    <w:abstractNumId w:val="37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29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4"/>
  </w:num>
  <w:num w:numId="33">
    <w:abstractNumId w:val="35"/>
  </w:num>
  <w:num w:numId="34">
    <w:abstractNumId w:val="31"/>
  </w:num>
  <w:num w:numId="35">
    <w:abstractNumId w:val="39"/>
  </w:num>
  <w:num w:numId="36">
    <w:abstractNumId w:val="23"/>
  </w:num>
  <w:num w:numId="37">
    <w:abstractNumId w:val="10"/>
  </w:num>
  <w:num w:numId="38">
    <w:abstractNumId w:val="38"/>
  </w:num>
  <w:num w:numId="39">
    <w:abstractNumId w:val="13"/>
  </w:num>
  <w:num w:numId="40">
    <w:abstractNumId w:val="17"/>
  </w:num>
  <w:num w:numId="41">
    <w:abstractNumId w:val="15"/>
  </w:num>
  <w:num w:numId="42">
    <w:abstractNumId w:val="42"/>
  </w:num>
  <w:num w:numId="43">
    <w:abstractNumId w:val="33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116A2"/>
    <w:rsid w:val="005148C9"/>
    <w:rsid w:val="005553D5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0B2F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EF49-A53D-4324-A999-D7B3D1C6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2817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70</cp:revision>
  <cp:lastPrinted>2017-11-13T07:38:00Z</cp:lastPrinted>
  <dcterms:created xsi:type="dcterms:W3CDTF">2016-03-22T06:25:00Z</dcterms:created>
  <dcterms:modified xsi:type="dcterms:W3CDTF">2018-07-12T09:41:00Z</dcterms:modified>
</cp:coreProperties>
</file>